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Ansi="华文中宋"/>
          <w:b/>
          <w:color w:val="FF0000"/>
          <w:u w:val="single" w:color="FF0000"/>
        </w:rPr>
      </w:pPr>
      <w:r>
        <w:rPr>
          <w:rFonts w:hAnsi="Calibri"/>
        </w:rPr>
        <mc:AlternateContent>
          <mc:Choice Requires="wps">
            <w:drawing>
              <wp:anchor distT="0" distB="0" distL="114300" distR="114300" simplePos="0" relativeHeight="251659264" behindDoc="0" locked="0" layoutInCell="1" allowOverlap="1">
                <wp:simplePos x="0" y="0"/>
                <wp:positionH relativeFrom="margin">
                  <wp:posOffset>41910</wp:posOffset>
                </wp:positionH>
                <wp:positionV relativeFrom="paragraph">
                  <wp:posOffset>18415</wp:posOffset>
                </wp:positionV>
                <wp:extent cx="5802630" cy="920115"/>
                <wp:effectExtent l="4445" t="4445" r="22225" b="8890"/>
                <wp:wrapNone/>
                <wp:docPr id="2" name="文本框 3"/>
                <wp:cNvGraphicFramePr/>
                <a:graphic xmlns:a="http://schemas.openxmlformats.org/drawingml/2006/main">
                  <a:graphicData uri="http://schemas.microsoft.com/office/word/2010/wordprocessingShape">
                    <wps:wsp>
                      <wps:cNvSpPr txBox="1"/>
                      <wps:spPr>
                        <a:xfrm>
                          <a:off x="0" y="0"/>
                          <a:ext cx="5802630" cy="920115"/>
                        </a:xfrm>
                        <a:prstGeom prst="rect">
                          <a:avLst/>
                        </a:prstGeom>
                        <a:noFill/>
                        <a:ln w="9525" cap="flat" cmpd="sng">
                          <a:solidFill>
                            <a:srgbClr val="FFFFFF"/>
                          </a:solidFill>
                          <a:prstDash val="solid"/>
                          <a:miter/>
                          <a:headEnd type="none" w="med" len="med"/>
                          <a:tailEnd type="none" w="med" len="med"/>
                        </a:ln>
                      </wps:spPr>
                      <wps:txbx>
                        <w:txbxContent>
                          <w:p>
                            <w:pPr>
                              <w:spacing w:line="0" w:lineRule="atLeast"/>
                              <w:jc w:val="distribute"/>
                              <w:rPr>
                                <w:rFonts w:ascii="方正小标宋简体" w:hAnsi="华文中宋" w:eastAsia="方正小标宋简体"/>
                                <w:b w:val="0"/>
                                <w:bCs w:val="0"/>
                                <w:color w:val="EF7139"/>
                                <w:spacing w:val="80"/>
                                <w:w w:val="70"/>
                                <w:sz w:val="96"/>
                                <w:szCs w:val="96"/>
                              </w:rPr>
                            </w:pPr>
                            <w:r>
                              <w:rPr>
                                <w:rFonts w:hint="eastAsia" w:ascii="方正小标宋简体" w:hAnsi="华文中宋" w:eastAsia="方正小标宋简体"/>
                                <w:b w:val="0"/>
                                <w:bCs w:val="0"/>
                                <w:color w:val="EF7139"/>
                                <w:spacing w:val="80"/>
                                <w:w w:val="70"/>
                                <w:sz w:val="96"/>
                                <w:szCs w:val="96"/>
                              </w:rPr>
                              <w:t>惠州市自然资源局</w:t>
                            </w:r>
                          </w:p>
                        </w:txbxContent>
                      </wps:txbx>
                      <wps:bodyPr wrap="square" upright="1"/>
                    </wps:wsp>
                  </a:graphicData>
                </a:graphic>
              </wp:anchor>
            </w:drawing>
          </mc:Choice>
          <mc:Fallback>
            <w:pict>
              <v:shape id="文本框 3" o:spid="_x0000_s1026" o:spt="202" type="#_x0000_t202" style="position:absolute;left:0pt;margin-left:3.3pt;margin-top:1.45pt;height:72.45pt;width:456.9pt;mso-position-horizontal-relative:margin;z-index:251659264;mso-width-relative:page;mso-height-relative:page;" filled="f" stroked="t" coordsize="21600,21600" o:gfxdata="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3ylq1gAAAAcBAAAPAAAAAAAAAAEAIAAAACIAAABkcnMvZG93bnJldi54bWxQSwECFAAU&#10;AAAACACHTuJARcqHbfMBAADNAwAADgAAAAAAAAABACAAAAAlAQAAZHJzL2Uyb0RvYy54bWxQSwUG&#10;AAAAAAYABgBZAQAAigUAAAAA&#10;">
                <v:fill on="f" focussize="0,0"/>
                <v:stroke color="#FFFFFF" joinstyle="miter"/>
                <v:imagedata o:title=""/>
                <o:lock v:ext="edit" aspectratio="f"/>
                <v:textbox>
                  <w:txbxContent>
                    <w:p>
                      <w:pPr>
                        <w:spacing w:line="0" w:lineRule="atLeast"/>
                        <w:jc w:val="distribute"/>
                        <w:rPr>
                          <w:rFonts w:ascii="方正小标宋简体" w:hAnsi="华文中宋" w:eastAsia="方正小标宋简体"/>
                          <w:b w:val="0"/>
                          <w:bCs w:val="0"/>
                          <w:color w:val="EF7139"/>
                          <w:spacing w:val="80"/>
                          <w:w w:val="70"/>
                          <w:sz w:val="96"/>
                          <w:szCs w:val="96"/>
                        </w:rPr>
                      </w:pPr>
                      <w:r>
                        <w:rPr>
                          <w:rFonts w:hint="eastAsia" w:ascii="方正小标宋简体" w:hAnsi="华文中宋" w:eastAsia="方正小标宋简体"/>
                          <w:b w:val="0"/>
                          <w:bCs w:val="0"/>
                          <w:color w:val="EF7139"/>
                          <w:spacing w:val="80"/>
                          <w:w w:val="70"/>
                          <w:sz w:val="96"/>
                          <w:szCs w:val="96"/>
                        </w:rPr>
                        <w:t>惠州市自然资源局</w:t>
                      </w:r>
                    </w:p>
                  </w:txbxContent>
                </v:textbox>
              </v:shape>
            </w:pict>
          </mc:Fallback>
        </mc:AlternateContent>
      </w:r>
    </w:p>
    <w:p>
      <w:pPr>
        <w:spacing w:line="0" w:lineRule="atLeast"/>
        <w:rPr>
          <w:rFonts w:hAnsi="华文中宋"/>
          <w:b/>
          <w:color w:val="FF0000"/>
          <w:u w:val="single" w:color="FF0000"/>
        </w:rPr>
      </w:pPr>
    </w:p>
    <w:p>
      <w:pPr>
        <w:spacing w:line="0" w:lineRule="atLeast"/>
        <w:rPr>
          <w:rFonts w:hAnsi="华文中宋"/>
          <w:b/>
          <w:color w:val="FF0000"/>
          <w:u w:val="single" w:color="FF0000"/>
        </w:rPr>
      </w:pPr>
    </w:p>
    <w:p>
      <w:pPr>
        <w:spacing w:line="360" w:lineRule="auto"/>
        <w:rPr>
          <w:rFonts w:hAnsi="华文中宋"/>
          <w:b w:val="0"/>
          <w:bCs/>
          <w:color w:val="FF0000"/>
          <w:u w:val="single" w:color="FF0000"/>
        </w:rPr>
      </w:pPr>
    </w:p>
    <w:p>
      <w:pPr>
        <w:spacing w:line="0" w:lineRule="atLeast"/>
        <w:rPr>
          <w:rFonts w:hAnsi="华文中宋"/>
          <w:b w:val="0"/>
          <w:bCs/>
          <w:color w:val="FF0000"/>
          <w:u w:val="single" w:color="FF0000"/>
        </w:rPr>
      </w:pPr>
    </w:p>
    <w:p>
      <w:pPr>
        <w:ind w:firstLine="105" w:firstLineChars="50"/>
        <w:jc w:val="right"/>
        <w:rPr>
          <w:sz w:val="15"/>
          <w:szCs w:val="15"/>
        </w:rPr>
      </w:pPr>
      <w:r>
        <w:rPr>
          <w:rFonts w:hAnsi="华文中宋"/>
          <w:b/>
          <w:color w:val="FF0000"/>
          <w:szCs w:val="22"/>
          <w:u w:val="single"/>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131445</wp:posOffset>
                </wp:positionV>
                <wp:extent cx="5972175" cy="0"/>
                <wp:effectExtent l="0" t="38100" r="9525" b="38100"/>
                <wp:wrapNone/>
                <wp:docPr id="1" name="Line 2"/>
                <wp:cNvGraphicFramePr/>
                <a:graphic xmlns:a="http://schemas.openxmlformats.org/drawingml/2006/main">
                  <a:graphicData uri="http://schemas.microsoft.com/office/word/2010/wordprocessingShape">
                    <wps:wsp>
                      <wps:cNvCnPr/>
                      <wps:spPr>
                        <a:xfrm>
                          <a:off x="0" y="0"/>
                          <a:ext cx="5972175" cy="0"/>
                        </a:xfrm>
                        <a:prstGeom prst="line">
                          <a:avLst/>
                        </a:prstGeom>
                        <a:ln w="76200" cap="flat" cmpd="thickThin">
                          <a:solidFill>
                            <a:srgbClr val="EF7139"/>
                          </a:solidFill>
                          <a:prstDash val="solid"/>
                          <a:headEnd type="none" w="med" len="med"/>
                          <a:tailEnd type="none" w="med" len="med"/>
                        </a:ln>
                      </wps:spPr>
                      <wps:bodyPr upright="1"/>
                    </wps:wsp>
                  </a:graphicData>
                </a:graphic>
              </wp:anchor>
            </w:drawing>
          </mc:Choice>
          <mc:Fallback>
            <w:pict>
              <v:line id="Line 2" o:spid="_x0000_s1026" o:spt="20" style="position:absolute;left:0pt;margin-left:-6pt;margin-top:10.35pt;height:0pt;width:470.25pt;z-index:251658240;mso-width-relative:page;mso-height-relative:page;" filled="f" stroked="t" coordsize="21600,21600" o:gfxdata="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5lo2QAAAAkBAAAPAAAAAAAAAAEAIAAAACIAAABkcnMv&#10;ZG93bnJldi54bWxQSwECFAAUAAAACACHTuJAqV3asskBAACSAwAADgAAAAAAAAABACAAAAAoAQAA&#10;ZHJzL2Uyb0RvYy54bWxQSwUGAAAAAAYABgBZAQAAYwUAAAAA&#10;">
                <v:fill on="f" focussize="0,0"/>
                <v:stroke weight="6pt" color="#EF7139"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rPr>
        <w:t>惠州市自然资源局关于开展潼湖国家湿地公园自然资源所有权首次登记的通告</w:t>
      </w:r>
    </w:p>
    <w:p>
      <w:pPr>
        <w:jc w:val="center"/>
        <w:rPr>
          <w:color w:val="auto"/>
          <w:sz w:val="28"/>
          <w:szCs w:val="28"/>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自然资源统一确权登记暂行办法》，按照《惠州市自然资源统一确权登记实施方案》的要求，惠州市自然资源局经惠州市人民政府同意，从本通告发布之日起，以不动产登记为基础，按照资源公有、物权法定和统一确权登记的原则，对潼湖国家湿地公园自然资源所有权开展首次登记。现将有关事项通告如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黑体"/>
          <w:bCs/>
          <w:color w:val="auto"/>
          <w:kern w:val="44"/>
          <w:sz w:val="32"/>
          <w:szCs w:val="44"/>
        </w:rPr>
      </w:pPr>
      <w:r>
        <w:rPr>
          <w:rFonts w:hint="eastAsia" w:eastAsia="黑体"/>
          <w:bCs/>
          <w:color w:val="auto"/>
          <w:kern w:val="44"/>
          <w:sz w:val="32"/>
          <w:szCs w:val="44"/>
        </w:rPr>
        <w:t>一、自然资源登记单元的预划分</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本次登记预划分1个登记单元，即：潼湖国家湿地公园。</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潼湖国家湿地公园范围涉及仲恺高新技术产业开发区</w:t>
      </w:r>
      <w:r>
        <w:rPr>
          <w:rFonts w:hint="eastAsia" w:ascii="仿宋_GB2312" w:hAnsi="仿宋_GB2312" w:eastAsia="仿宋_GB2312" w:cs="仿宋_GB2312"/>
          <w:color w:val="auto"/>
          <w:sz w:val="32"/>
          <w:szCs w:val="32"/>
          <w:lang w:val="en-US" w:eastAsia="zh-CN"/>
        </w:rPr>
        <w:t>潼湖镇、潼侨镇、沥林镇和</w:t>
      </w:r>
      <w:r>
        <w:rPr>
          <w:rFonts w:hint="eastAsia" w:ascii="仿宋_GB2312" w:hAnsi="仿宋_GB2312" w:eastAsia="仿宋_GB2312" w:cs="仿宋_GB2312"/>
          <w:color w:val="auto"/>
          <w:sz w:val="32"/>
          <w:szCs w:val="32"/>
        </w:rPr>
        <w:t>陈江街道，结合管理审批界线预划分登记单元范围。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黑体"/>
          <w:bCs/>
          <w:color w:val="auto"/>
          <w:kern w:val="44"/>
          <w:sz w:val="32"/>
          <w:szCs w:val="44"/>
        </w:rPr>
      </w:pPr>
      <w:r>
        <w:rPr>
          <w:rFonts w:hint="eastAsia" w:eastAsia="黑体"/>
          <w:bCs/>
          <w:color w:val="auto"/>
          <w:kern w:val="44"/>
          <w:sz w:val="32"/>
          <w:szCs w:val="44"/>
        </w:rPr>
        <w:t>二、开展自然资源登记工作的时间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本次开展自然资源首次登记工作的时间约为半年。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黑体"/>
          <w:bCs/>
          <w:color w:val="auto"/>
          <w:kern w:val="44"/>
          <w:sz w:val="32"/>
          <w:szCs w:val="44"/>
        </w:rPr>
      </w:pPr>
      <w:r>
        <w:rPr>
          <w:rFonts w:hint="eastAsia" w:eastAsia="黑体"/>
          <w:bCs/>
          <w:color w:val="auto"/>
          <w:kern w:val="44"/>
          <w:sz w:val="32"/>
          <w:szCs w:val="44"/>
        </w:rPr>
        <w:t>三、自然资源类型、范围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margin">
                  <wp:posOffset>-148590</wp:posOffset>
                </wp:positionH>
                <wp:positionV relativeFrom="paragraph">
                  <wp:posOffset>1198245</wp:posOffset>
                </wp:positionV>
                <wp:extent cx="5920105" cy="635"/>
                <wp:effectExtent l="0" t="29845" r="4445" b="45720"/>
                <wp:wrapNone/>
                <wp:docPr id="3" name="直线 4"/>
                <wp:cNvGraphicFramePr/>
                <a:graphic xmlns:a="http://schemas.openxmlformats.org/drawingml/2006/main">
                  <a:graphicData uri="http://schemas.microsoft.com/office/word/2010/wordprocessingShape">
                    <wps:wsp>
                      <wps:cNvCnPr/>
                      <wps:spPr>
                        <a:xfrm>
                          <a:off x="0" y="0"/>
                          <a:ext cx="5920105" cy="635"/>
                        </a:xfrm>
                        <a:prstGeom prst="line">
                          <a:avLst/>
                        </a:prstGeom>
                        <a:ln w="60325" cap="flat" cmpd="thinThick">
                          <a:solidFill>
                            <a:srgbClr val="EF7139"/>
                          </a:solidFill>
                          <a:prstDash val="solid"/>
                          <a:headEnd type="none" w="med" len="med"/>
                          <a:tailEnd type="none" w="med" len="med"/>
                        </a:ln>
                      </wps:spPr>
                      <wps:bodyPr upright="1"/>
                    </wps:wsp>
                  </a:graphicData>
                </a:graphic>
              </wp:anchor>
            </w:drawing>
          </mc:Choice>
          <mc:Fallback>
            <w:pict>
              <v:line id="直线 4" o:spid="_x0000_s1026" o:spt="20" style="position:absolute;left:0pt;margin-left:-11.7pt;margin-top:94.35pt;height:0.05pt;width:466.15pt;mso-position-horizontal-relative:margin;z-index:251660288;mso-width-relative:page;mso-height-relative:page;" filled="f" stroked="t" coordsize="21600,21600" o:gfxdata="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qth8PYAAAACwEAAA8AAAAAAAAAAQAg&#10;AAAAIgAAAGRycy9kb3ducmV2LnhtbFBLAQIUABQAAAAIAIdO4kAKWp/I1QEAAJYDAAAOAAAAAAAA&#10;AAEAIAAAACcBAABkcnMvZTJvRG9jLnhtbFBLBQYAAAAABgAGAFkBAABuBQAAAAA=&#10;">
                <v:fill on="f" focussize="0,0"/>
                <v:stroke weight="4.75pt" color="#EF7139" linestyle="thinThick" joinstyle="round"/>
                <v:imagedata o:title=""/>
                <o:lock v:ext="edit" aspectratio="f"/>
              </v:line>
            </w:pict>
          </mc:Fallback>
        </mc:AlternateContent>
      </w:r>
      <w:r>
        <w:rPr>
          <w:rFonts w:hint="eastAsia" w:ascii="仿宋_GB2312" w:hAnsi="仿宋_GB2312" w:eastAsia="仿宋_GB2312" w:cs="仿宋_GB2312"/>
          <w:color w:val="auto"/>
          <w:sz w:val="32"/>
          <w:szCs w:val="32"/>
        </w:rPr>
        <w:t>登记单元内的水流、森林、山岭、草原、荒地、滩涂、探明储量的矿产资源等自然资源的国家所有权和自然生态空间。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本次登记区域涉及仲恺高新技术产业开发区</w:t>
      </w:r>
      <w:r>
        <w:rPr>
          <w:rFonts w:hint="eastAsia" w:ascii="仿宋_GB2312" w:hAnsi="仿宋_GB2312" w:eastAsia="仿宋_GB2312" w:cs="仿宋_GB2312"/>
          <w:color w:val="auto"/>
          <w:sz w:val="32"/>
          <w:szCs w:val="32"/>
          <w:lang w:val="en-US" w:eastAsia="zh-CN"/>
        </w:rPr>
        <w:t>潼湖镇、潼侨镇、沥林镇和</w:t>
      </w:r>
      <w:r>
        <w:rPr>
          <w:rFonts w:hint="eastAsia" w:ascii="仿宋_GB2312" w:hAnsi="仿宋_GB2312" w:eastAsia="仿宋_GB2312" w:cs="仿宋_GB2312"/>
          <w:color w:val="auto"/>
          <w:sz w:val="32"/>
          <w:szCs w:val="32"/>
        </w:rPr>
        <w:t>陈江街道。</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eastAsia="黑体"/>
          <w:bCs/>
          <w:color w:val="auto"/>
          <w:kern w:val="44"/>
          <w:sz w:val="32"/>
          <w:szCs w:val="44"/>
        </w:rPr>
      </w:pPr>
      <w:r>
        <w:rPr>
          <w:rFonts w:hint="eastAsia" w:eastAsia="黑体"/>
          <w:bCs/>
          <w:color w:val="auto"/>
          <w:kern w:val="44"/>
          <w:sz w:val="32"/>
          <w:szCs w:val="44"/>
        </w:rPr>
        <w:t>四、其他事项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自然资源所有权代表（代理）行使主体、集体土地所有权人、国有土地使用权人等相关主体，应当积极配合做好确权登记相关工作。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特此通告。</w:t>
      </w:r>
    </w:p>
    <w:p>
      <w:pPr>
        <w:keepNext w:val="0"/>
        <w:keepLines w:val="0"/>
        <w:pageBreakBefore w:val="0"/>
        <w:widowControl w:val="0"/>
        <w:kinsoku/>
        <w:overflowPunct/>
        <w:topLinePunct w:val="0"/>
        <w:autoSpaceDE/>
        <w:autoSpaceDN/>
        <w:bidi w:val="0"/>
        <w:adjustRightInd/>
        <w:snapToGrid/>
        <w:spacing w:line="560" w:lineRule="exact"/>
        <w:textAlignment w:val="auto"/>
        <w:rPr>
          <w:color w:val="auto"/>
          <w:sz w:val="28"/>
          <w:szCs w:val="28"/>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eastAsia="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eastAsia="宋体"/>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640" w:firstLine="4960" w:firstLineChars="155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惠州市自然资源局</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640" w:firstLine="4960" w:firstLineChars="1550"/>
        <w:jc w:val="right"/>
        <w:textAlignment w:val="auto"/>
        <w:rPr>
          <w:rFonts w:hint="default" w:ascii="仿宋_GB2312" w:hAnsi="仿宋_GB2312" w:eastAsia="仿宋_GB2312" w:cs="仿宋_GB2312"/>
          <w:color w:val="auto"/>
          <w:kern w:val="2"/>
          <w:sz w:val="32"/>
          <w:szCs w:val="32"/>
          <w:lang w:val="en-US" w:eastAsia="zh-CN" w:bidi="ar"/>
        </w:rPr>
      </w:pPr>
      <w:r>
        <w:rPr>
          <w:rFonts w:hint="default" w:ascii="Times New Roman" w:hAnsi="Times New Roman" w:eastAsia="仿宋" w:cs="Times New Roman"/>
          <w:color w:val="auto"/>
          <w:sz w:val="32"/>
          <w:szCs w:val="32"/>
          <w:lang w:val="en-US" w:eastAsia="zh-CN"/>
        </w:rPr>
        <w:t>2022</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月2</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r>
        <w:rPr>
          <w:rFonts w:hint="eastAsia" w:eastAsia="仿宋" w:cs="Times New Roman"/>
          <w:color w:val="auto"/>
          <w:sz w:val="32"/>
          <w:szCs w:val="32"/>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880" w:firstLineChars="200"/>
        <w:jc w:val="both"/>
        <w:textAlignment w:val="auto"/>
        <w:rPr>
          <w:rFonts w:hint="eastAsia" w:ascii="方正小标宋_GBK" w:hAnsi="方正小标宋_GBK" w:eastAsia="方正小标宋_GBK" w:cs="方正小标宋_GBK"/>
          <w:b w:val="0"/>
          <w:bCs/>
          <w:color w:val="auto"/>
          <w:kern w:val="2"/>
          <w:sz w:val="44"/>
          <w:szCs w:val="44"/>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sectPr>
      <w:headerReference r:id="rId3" w:type="default"/>
      <w:footerReference r:id="rId4" w:type="default"/>
      <w:footerReference r:id="rId5" w:type="even"/>
      <w:pgSz w:w="11906" w:h="16838"/>
      <w:pgMar w:top="1418" w:right="1531" w:bottom="1134" w:left="1531" w:header="907"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- 1 -</w:t>
    </w:r>
    <w:r>
      <w:rPr>
        <w:sz w:val="24"/>
        <w:szCs w:val="24"/>
      </w:rPr>
      <w:fldChar w:fldCharType="end"/>
    </w:r>
  </w:p>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90500" cy="288290"/>
              <wp:effectExtent l="0" t="0" r="0" b="0"/>
              <wp:wrapNone/>
              <wp:docPr id="4" name="文本框1"/>
              <wp:cNvGraphicFramePr/>
              <a:graphic xmlns:a="http://schemas.openxmlformats.org/drawingml/2006/main">
                <a:graphicData uri="http://schemas.microsoft.com/office/word/2010/wordprocessingShape">
                  <wps:wsp>
                    <wps:cNvSpPr/>
                    <wps:spPr>
                      <a:xfrm>
                        <a:off x="0" y="0"/>
                        <a:ext cx="190500" cy="288290"/>
                      </a:xfrm>
                      <a:prstGeom prst="rect">
                        <a:avLst/>
                      </a:prstGeom>
                      <a:noFill/>
                      <a:ln>
                        <a:noFill/>
                      </a:ln>
                    </wps:spPr>
                    <wps:txbx>
                      <w:txbxContent>
                        <w:p/>
                      </w:txbxContent>
                    </wps:txbx>
                    <wps:bodyPr vert="horz" wrap="none" lIns="0" tIns="0" rIns="0" bIns="0" anchor="t" anchorCtr="0" upright="0"/>
                  </wps:wsp>
                </a:graphicData>
              </a:graphic>
            </wp:anchor>
          </w:drawing>
        </mc:Choice>
        <mc:Fallback>
          <w:pict>
            <v:rect id="文本框1" o:spid="_x0000_s1026" o:spt="1" style="position:absolute;left:0pt;margin-top:0pt;height:22.7pt;width:15pt;mso-position-horizontal:outside;mso-position-horizontal-relative:margin;mso-wrap-style:none;z-index:251658240;mso-width-relative:page;mso-height-relative:page;" filled="f" stroked="f" coordsize="21600,21600" o:gfxdata="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CAg&#10;sdMAAAADAQAADwAAAAAAAAABACAAAAAiAAAAZHJzL2Rvd25yZXYueG1sUEsBAhQAFAAAAAgAh07i&#10;QOBB0JC1AQAASQMAAA4AAAAAAAAAAQAgAAAAIgEAAGRycy9lMm9Eb2MueG1sUEsFBgAAAAAGAAYA&#10;WQEAAEkFAAAAAA==&#10;">
              <v:fill on="f" focussize="0,0"/>
              <v:stroke on="f"/>
              <v:imagedata o:title=""/>
              <o:lock v:ext="edit" aspectratio="f"/>
              <v:textbox inset="0mm,0mm,0mm,0mm">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- 1 -</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41B"/>
    <w:rsid w:val="00034501"/>
    <w:rsid w:val="000D23CB"/>
    <w:rsid w:val="001F6370"/>
    <w:rsid w:val="002E29D8"/>
    <w:rsid w:val="004001F8"/>
    <w:rsid w:val="00451904"/>
    <w:rsid w:val="0056496B"/>
    <w:rsid w:val="00596FC7"/>
    <w:rsid w:val="006609DF"/>
    <w:rsid w:val="006D1939"/>
    <w:rsid w:val="0087412C"/>
    <w:rsid w:val="00886325"/>
    <w:rsid w:val="00886F02"/>
    <w:rsid w:val="00937BCB"/>
    <w:rsid w:val="00945994"/>
    <w:rsid w:val="009B08AE"/>
    <w:rsid w:val="00A123B5"/>
    <w:rsid w:val="00A93A58"/>
    <w:rsid w:val="00AE7C78"/>
    <w:rsid w:val="00B170D5"/>
    <w:rsid w:val="00B47E5F"/>
    <w:rsid w:val="00DE1B17"/>
    <w:rsid w:val="02431E2D"/>
    <w:rsid w:val="02D32C6F"/>
    <w:rsid w:val="047940F2"/>
    <w:rsid w:val="0767139A"/>
    <w:rsid w:val="08AA4162"/>
    <w:rsid w:val="08C916A2"/>
    <w:rsid w:val="0B7E179E"/>
    <w:rsid w:val="0B993AF2"/>
    <w:rsid w:val="0BE30321"/>
    <w:rsid w:val="0C17763F"/>
    <w:rsid w:val="0DCB1D56"/>
    <w:rsid w:val="0EBA6D19"/>
    <w:rsid w:val="0F9F3378"/>
    <w:rsid w:val="13370EFC"/>
    <w:rsid w:val="1355528D"/>
    <w:rsid w:val="13A16252"/>
    <w:rsid w:val="15E57BD1"/>
    <w:rsid w:val="17BA0221"/>
    <w:rsid w:val="1BFE0EE7"/>
    <w:rsid w:val="1CED4C6A"/>
    <w:rsid w:val="1FFA73C2"/>
    <w:rsid w:val="22FC1A3F"/>
    <w:rsid w:val="266B3416"/>
    <w:rsid w:val="2A8A3D75"/>
    <w:rsid w:val="2C10385F"/>
    <w:rsid w:val="2DB963E3"/>
    <w:rsid w:val="2E124376"/>
    <w:rsid w:val="31454E92"/>
    <w:rsid w:val="325A2786"/>
    <w:rsid w:val="36376105"/>
    <w:rsid w:val="38082252"/>
    <w:rsid w:val="3C570B1D"/>
    <w:rsid w:val="3ED43476"/>
    <w:rsid w:val="3F2436C2"/>
    <w:rsid w:val="40F4401C"/>
    <w:rsid w:val="42984E47"/>
    <w:rsid w:val="49DE6F36"/>
    <w:rsid w:val="4A3B4C1F"/>
    <w:rsid w:val="4AA52CE5"/>
    <w:rsid w:val="4BDD7E66"/>
    <w:rsid w:val="4E2B28FD"/>
    <w:rsid w:val="4EC22C4D"/>
    <w:rsid w:val="500E7258"/>
    <w:rsid w:val="50840DDC"/>
    <w:rsid w:val="521B3C8D"/>
    <w:rsid w:val="536F31D2"/>
    <w:rsid w:val="54B4227E"/>
    <w:rsid w:val="56A84C12"/>
    <w:rsid w:val="56E365C7"/>
    <w:rsid w:val="57AB0667"/>
    <w:rsid w:val="57D76079"/>
    <w:rsid w:val="590D5DDC"/>
    <w:rsid w:val="5D2307DF"/>
    <w:rsid w:val="5E25630F"/>
    <w:rsid w:val="5E640037"/>
    <w:rsid w:val="5EAD6E3B"/>
    <w:rsid w:val="5F5F0AA6"/>
    <w:rsid w:val="61936537"/>
    <w:rsid w:val="621D5C06"/>
    <w:rsid w:val="65E40232"/>
    <w:rsid w:val="68341C99"/>
    <w:rsid w:val="6A4864E9"/>
    <w:rsid w:val="6A630561"/>
    <w:rsid w:val="6B2E1EBE"/>
    <w:rsid w:val="704C43BA"/>
    <w:rsid w:val="715E5D85"/>
    <w:rsid w:val="75216423"/>
    <w:rsid w:val="75691909"/>
    <w:rsid w:val="75F74337"/>
    <w:rsid w:val="76395CC7"/>
    <w:rsid w:val="7771396A"/>
    <w:rsid w:val="79E64410"/>
    <w:rsid w:val="7ADC0258"/>
    <w:rsid w:val="7C444233"/>
    <w:rsid w:val="7E302F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 Char1 Char Char Char"/>
    <w:basedOn w:val="1"/>
    <w:qFormat/>
    <w:uiPriority w:val="0"/>
    <w:pPr>
      <w:tabs>
        <w:tab w:val="left" w:pos="1360"/>
      </w:tabs>
    </w:pPr>
  </w:style>
  <w:style w:type="paragraph" w:customStyle="1" w:styleId="10">
    <w:name w:val="p0"/>
    <w:basedOn w:val="1"/>
    <w:qFormat/>
    <w:uiPriority w:val="0"/>
    <w:pPr>
      <w:widowControl/>
    </w:pPr>
    <w:rPr>
      <w:rFonts w:ascii="Calibri" w:hAnsi="Calibri" w:cs="宋体"/>
      <w:kern w:val="0"/>
      <w:szCs w:val="21"/>
    </w:rPr>
  </w:style>
  <w:style w:type="paragraph" w:customStyle="1" w:styleId="11">
    <w:name w:val="List Paragraph"/>
    <w:basedOn w:val="1"/>
    <w:qFormat/>
    <w:uiPriority w:val="0"/>
    <w:pPr>
      <w:ind w:firstLine="420" w:firstLineChars="200"/>
    </w:pPr>
  </w:style>
  <w:style w:type="character" w:customStyle="1" w:styleId="12">
    <w:name w:val="page number"/>
    <w:basedOn w:val="7"/>
    <w:qFormat/>
    <w:uiPriority w:val="0"/>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1238</Words>
  <Characters>1267</Characters>
  <Lines>9</Lines>
  <Paragraphs>2</Paragraphs>
  <TotalTime>8</TotalTime>
  <ScaleCrop>false</ScaleCrop>
  <LinksUpToDate>false</LinksUpToDate>
  <CharactersWithSpaces>1354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2017-01-11T07:20:00Z</dcterms:created>
  <dc:creator>微软用户</dc:creator>
  <cp:lastModifiedBy>汪芳</cp:lastModifiedBy>
  <cp:lastPrinted>2022-03-23T08:06:00Z</cp:lastPrinted>
  <dcterms:modified xsi:type="dcterms:W3CDTF">2022-11-02T01:28:00Z</dcterms:modified>
  <dc:title>惠市国土资〔2010〕号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481DF5CAAFF54915A3BE1B91A9F94CCB</vt:lpwstr>
  </property>
</Properties>
</file>